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and dispose of existing carpet and pad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Subfloor prep: patch and level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Luxury vinyl plank, [brand/color]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includes 10% waste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704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$2,393.60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Underlayment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704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$0.45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$316.80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Installation, LVP floating floor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Transitions, quarter round, furniture moving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$5,195.40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(6%)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$179.72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$5,375.12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Installed area 640 sq ft; materials include 10% waste. Installation warranty: 2 years; flooring carries the manufacturer’s warranty.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